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31D0" w14:textId="77777777" w:rsidR="00A1788D" w:rsidRDefault="00A1788D" w:rsidP="00A1788D">
      <w:pPr>
        <w:pStyle w:val="jb"/>
        <w:spacing w:before="0" w:after="0" w:line="375" w:lineRule="exact"/>
        <w:rPr>
          <w:rStyle w:val="jb1"/>
          <w:rFonts w:ascii="Arial" w:hAnsi="Arial" w:cs="Arial"/>
          <w:sz w:val="27"/>
          <w:szCs w:val="27"/>
        </w:rPr>
      </w:pPr>
      <w:r>
        <w:rPr>
          <w:rStyle w:val="jb1"/>
          <w:rFonts w:ascii="Arial" w:hAnsi="Arial" w:cs="Arial"/>
          <w:color w:val="000000"/>
          <w:sz w:val="27"/>
          <w:szCs w:val="27"/>
        </w:rPr>
        <w:t>0</w:t>
      </w:r>
      <w:r>
        <w:rPr>
          <w:rStyle w:val="jb1"/>
          <w:rFonts w:ascii="Arial" w:hAnsi="Arial" w:cs="Arial"/>
          <w:sz w:val="27"/>
          <w:szCs w:val="27"/>
        </w:rPr>
        <w:t>6/30/2023</w:t>
      </w:r>
    </w:p>
    <w:p w14:paraId="7A35C283" w14:textId="77777777" w:rsidR="00A1788D" w:rsidRDefault="00A1788D" w:rsidP="00A1788D">
      <w:pPr>
        <w:textAlignment w:val="baseline"/>
        <w:rPr>
          <w:b/>
          <w:bCs/>
          <w:color w:val="000000"/>
          <w:sz w:val="28"/>
          <w:szCs w:val="28"/>
        </w:rPr>
      </w:pPr>
      <w:r>
        <w:rPr>
          <w:rFonts w:ascii="Arial" w:hAnsi="Arial" w:cs="Arial"/>
          <w:b/>
          <w:bCs/>
          <w:color w:val="000000"/>
          <w:sz w:val="28"/>
          <w:szCs w:val="28"/>
        </w:rPr>
        <w:t>SHIP OF FOOLS (revisited)</w:t>
      </w:r>
    </w:p>
    <w:p w14:paraId="7B742681" w14:textId="77777777" w:rsidR="00A1788D" w:rsidRDefault="00A1788D" w:rsidP="00A1788D">
      <w:pPr>
        <w:shd w:val="clear" w:color="auto" w:fill="FFFFFF"/>
        <w:textAlignment w:val="baseline"/>
        <w:rPr>
          <w:rFonts w:ascii="Arial" w:hAnsi="Arial" w:cs="Arial"/>
          <w:color w:val="888888"/>
          <w:sz w:val="33"/>
          <w:szCs w:val="33"/>
        </w:rPr>
      </w:pPr>
      <w:hyperlink r:id="rId4" w:history="1">
        <w:r>
          <w:rPr>
            <w:rStyle w:val="Hyperlink"/>
            <w:rFonts w:ascii="Lato" w:hAnsi="Lato" w:cs="Arial"/>
            <w:color w:val="333333"/>
            <w:sz w:val="24"/>
            <w:szCs w:val="24"/>
            <w:shd w:val="clear" w:color="auto" w:fill="FFFFFF"/>
            <w14:ligatures w14:val="standardContextual"/>
          </w:rPr>
          <w:t>FNMA wholesale 30yr. fixed-rate mortgage auction results: 6.38% UP .23% from yesterday, with the Dow and Nasdaq each rising over 230pts, contrarily thinking the worst of rate increases are behind them per</w:t>
        </w:r>
        <w:r>
          <w:rPr>
            <w:rStyle w:val="Hyperlink"/>
            <w:rFonts w:ascii="Arial" w:hAnsi="Arial" w:cs="Arial"/>
            <w:color w:val="000000"/>
            <w:sz w:val="28"/>
            <w:szCs w:val="28"/>
          </w:rPr>
          <w:t xml:space="preserve"> </w:t>
        </w:r>
        <w:r>
          <w:rPr>
            <w:rStyle w:val="Hyperlink"/>
            <w:rFonts w:ascii="Arial" w:hAnsi="Arial" w:cs="Arial"/>
            <w:sz w:val="28"/>
            <w:szCs w:val="28"/>
          </w:rPr>
          <w:t>Trading Economics analysis</w:t>
        </w:r>
      </w:hyperlink>
      <w:r>
        <w:rPr>
          <w:rFonts w:ascii="Arial" w:hAnsi="Arial" w:cs="Arial"/>
          <w:color w:val="000000"/>
          <w:sz w:val="28"/>
          <w:szCs w:val="28"/>
        </w:rPr>
        <w:t>: “</w:t>
      </w:r>
      <w:r>
        <w:rPr>
          <w:rFonts w:ascii="Lato" w:hAnsi="Lato"/>
          <w:i/>
          <w:iCs/>
          <w:color w:val="333333"/>
          <w:sz w:val="24"/>
          <w:szCs w:val="24"/>
          <w:shd w:val="clear" w:color="auto" w:fill="FFFFFF"/>
          <w14:ligatures w14:val="standardContextual"/>
        </w:rPr>
        <w:t>So far on Q2, the Dow Jones added 2.6%, the S&amp;P surged 7%, a third straight quarter of gains and the Nasdaq jumped 11.2%, pushing year-to-date gains to 2.9%, 14.5% and 30% respectively, led by a rally in AI-related shares and bets the Fed is done with most of its rate hikes.”</w:t>
      </w:r>
      <w:r>
        <w:rPr>
          <w:rFonts w:ascii="Lato" w:hAnsi="Lato"/>
          <w:color w:val="333333"/>
          <w:sz w:val="24"/>
          <w:szCs w:val="24"/>
          <w:shd w:val="clear" w:color="auto" w:fill="FFFFFF"/>
          <w14:ligatures w14:val="standardContextual"/>
        </w:rPr>
        <w:t xml:space="preserve">  With more disclosures and whistleblowers stepping forward in matters relating to the FBI, CIA, NASA, CDC, WHO, DOJ, EU, BOE, and the misinformation provided by these governmental entities, why leave out the Commerce Dept, Census Bureau, the Bureau of Labor Statistics (BLS), and the Federal Reserve.   </w:t>
      </w:r>
      <w:hyperlink r:id="rId5" w:history="1">
        <w:r>
          <w:rPr>
            <w:rStyle w:val="Hyperlink"/>
            <w:rFonts w:ascii="Helvetica" w:hAnsi="Helvetica" w:cs="Helvetica"/>
            <w:b/>
            <w:bCs/>
            <w:color w:val="333333"/>
            <w:sz w:val="23"/>
            <w:szCs w:val="23"/>
            <w:u w:val="single"/>
          </w:rPr>
          <w:t>US New Home Sales Highest in Over a Year</w:t>
        </w:r>
      </w:hyperlink>
      <w:r>
        <w:rPr>
          <w:rFonts w:ascii="Helvetica" w:hAnsi="Helvetica" w:cs="Helvetica"/>
          <w:color w:val="333333"/>
          <w:sz w:val="23"/>
          <w:szCs w:val="23"/>
        </w:rPr>
        <w:t xml:space="preserve"> per Census Bureau: </w:t>
      </w:r>
      <w:r>
        <w:rPr>
          <w:rFonts w:ascii="Helvetica" w:hAnsi="Helvetica" w:cs="Helvetica"/>
          <w:i/>
          <w:iCs/>
          <w:color w:val="333333"/>
          <w:sz w:val="23"/>
          <w:szCs w:val="23"/>
        </w:rPr>
        <w:t>“</w:t>
      </w:r>
      <w:r>
        <w:rPr>
          <w:rFonts w:ascii="Lato" w:hAnsi="Lato"/>
          <w:i/>
          <w:iCs/>
          <w:color w:val="333333"/>
          <w:sz w:val="24"/>
          <w:szCs w:val="24"/>
          <w:shd w:val="clear" w:color="auto" w:fill="FFFFFF"/>
          <w14:ligatures w14:val="standardContextual"/>
        </w:rPr>
        <w:t>Sales of new single-family houses in the US jumped 12.2% month-over-month.”</w:t>
      </w:r>
      <w:r>
        <w:rPr>
          <w:rFonts w:ascii="Lato" w:hAnsi="Lato"/>
          <w:color w:val="333333"/>
          <w:sz w:val="24"/>
          <w:szCs w:val="24"/>
          <w:shd w:val="clear" w:color="auto" w:fill="FFFFFF"/>
          <w14:ligatures w14:val="standardContextual"/>
        </w:rPr>
        <w:t xml:space="preserve">  This isn’t a yearly increase, but a month over month? Once again, like the new jobs reporting for last year (see below), that’s an incredible (defined as </w:t>
      </w:r>
      <w:r>
        <w:rPr>
          <w:rFonts w:ascii="Lato" w:hAnsi="Lato"/>
          <w:i/>
          <w:iCs/>
          <w:color w:val="333333"/>
          <w:sz w:val="24"/>
          <w:szCs w:val="24"/>
          <w:shd w:val="clear" w:color="auto" w:fill="FFFFFF"/>
          <w14:ligatures w14:val="standardContextual"/>
        </w:rPr>
        <w:t>beyond</w:t>
      </w:r>
      <w:r>
        <w:rPr>
          <w:rFonts w:ascii="Lato" w:hAnsi="Lato"/>
          <w:color w:val="333333"/>
          <w:sz w:val="24"/>
          <w:szCs w:val="24"/>
          <w:shd w:val="clear" w:color="auto" w:fill="FFFFFF"/>
          <w14:ligatures w14:val="standardContextual"/>
        </w:rPr>
        <w:t xml:space="preserve"> </w:t>
      </w:r>
      <w:r>
        <w:rPr>
          <w:rFonts w:ascii="Lato" w:hAnsi="Lato"/>
          <w:i/>
          <w:iCs/>
          <w:color w:val="333333"/>
          <w:sz w:val="24"/>
          <w:szCs w:val="24"/>
          <w:shd w:val="clear" w:color="auto" w:fill="FFFFFF"/>
          <w14:ligatures w14:val="standardContextual"/>
        </w:rPr>
        <w:t>credible)</w:t>
      </w:r>
      <w:r>
        <w:rPr>
          <w:rFonts w:ascii="Lato" w:hAnsi="Lato"/>
          <w:color w:val="333333"/>
          <w:sz w:val="24"/>
          <w:szCs w:val="24"/>
          <w:shd w:val="clear" w:color="auto" w:fill="FFFFFF"/>
          <w14:ligatures w14:val="standardContextual"/>
        </w:rPr>
        <w:t xml:space="preserve"> increase.  How does this mesh with the largest home builder in the nation and its latest sale?  DR Horton, largest builder in the nation, just unloaded $1.5 billion of its standing inventory to a company that converts new homes into rentals. </w:t>
      </w:r>
      <w:hyperlink r:id="rId6" w:tgtFrame="_self" w:history="1">
        <w:r>
          <w:rPr>
            <w:rStyle w:val="Hyperlink"/>
            <w:rFonts w:ascii="inherit" w:hAnsi="inherit"/>
            <w:color w:val="0000FF"/>
            <w:sz w:val="24"/>
            <w:szCs w:val="24"/>
            <w:u w:val="single"/>
            <w:bdr w:val="none" w:sz="0" w:space="0" w:color="auto" w:frame="1"/>
          </w:rPr>
          <w:t>Pretium Partners acquires homes from D.R. Horton in $1.5 billion deal ...</w:t>
        </w:r>
      </w:hyperlink>
      <w:r>
        <w:rPr>
          <w:rFonts w:ascii="Arial" w:hAnsi="Arial" w:cs="Arial"/>
          <w:i/>
          <w:iCs/>
          <w:color w:val="63666A"/>
          <w:spacing w:val="-3"/>
          <w:sz w:val="27"/>
          <w:szCs w:val="27"/>
          <w:shd w:val="clear" w:color="auto" w:fill="FFFFFF"/>
        </w:rPr>
        <w:t xml:space="preserve">  </w:t>
      </w:r>
      <w:r>
        <w:rPr>
          <w:rFonts w:ascii="Lato" w:hAnsi="Lato"/>
          <w:i/>
          <w:iCs/>
          <w:color w:val="333333"/>
          <w:sz w:val="24"/>
          <w:szCs w:val="24"/>
          <w:shd w:val="clear" w:color="auto" w:fill="FFFFFF"/>
          <w14:ligatures w14:val="standardContextual"/>
        </w:rPr>
        <w:t>As a</w:t>
      </w:r>
      <w:r>
        <w:rPr>
          <w:rFonts w:ascii="Arial" w:hAnsi="Arial" w:cs="Arial"/>
          <w:i/>
          <w:iCs/>
          <w:color w:val="63666A"/>
          <w:spacing w:val="-3"/>
          <w:sz w:val="27"/>
          <w:szCs w:val="27"/>
          <w:shd w:val="clear" w:color="auto" w:fill="FFFFFF"/>
        </w:rPr>
        <w:t xml:space="preserve"> </w:t>
      </w:r>
      <w:r>
        <w:rPr>
          <w:rFonts w:ascii="Lato" w:hAnsi="Lato"/>
          <w:i/>
          <w:iCs/>
          <w:color w:val="333333"/>
          <w:sz w:val="24"/>
          <w:szCs w:val="24"/>
          <w:shd w:val="clear" w:color="auto" w:fill="FFFFFF"/>
          <w14:ligatures w14:val="standardContextual"/>
        </w:rPr>
        <w:t xml:space="preserve">leading alternative investment manager, </w:t>
      </w:r>
      <w:r>
        <w:rPr>
          <w:rFonts w:ascii="Lato" w:hAnsi="Lato"/>
          <w:i/>
          <w:iCs/>
          <w:color w:val="333333"/>
          <w:sz w:val="24"/>
          <w:szCs w:val="24"/>
          <w:highlight w:val="yellow"/>
          <w:shd w:val="clear" w:color="auto" w:fill="FFFFFF"/>
          <w14:ligatures w14:val="standardContextual"/>
        </w:rPr>
        <w:t>Pretium looks for disruptions in markets</w:t>
      </w:r>
      <w:r>
        <w:rPr>
          <w:rFonts w:ascii="Lato" w:hAnsi="Lato"/>
          <w:i/>
          <w:iCs/>
          <w:color w:val="333333"/>
          <w:sz w:val="24"/>
          <w:szCs w:val="24"/>
          <w:shd w:val="clear" w:color="auto" w:fill="FFFFFF"/>
          <w14:ligatures w14:val="standardContextual"/>
        </w:rPr>
        <w:t xml:space="preserve">, demographics, technology, or public policy that create real estate and credit market opportunities with long-term tailwinds. </w:t>
      </w:r>
      <w:r>
        <w:rPr>
          <w:rFonts w:ascii="Lato" w:hAnsi="Lato"/>
          <w:color w:val="333333"/>
          <w:sz w:val="24"/>
          <w:szCs w:val="24"/>
          <w:shd w:val="clear" w:color="auto" w:fill="FFFFFF"/>
          <w14:ligatures w14:val="standardContextual"/>
        </w:rPr>
        <w:t>Another builder heavyweight</w:t>
      </w:r>
      <w:r>
        <w:rPr>
          <w:rFonts w:ascii="Lato" w:hAnsi="Lato"/>
          <w:i/>
          <w:iCs/>
          <w:color w:val="333333"/>
          <w:sz w:val="24"/>
          <w:szCs w:val="24"/>
          <w:shd w:val="clear" w:color="auto" w:fill="FFFFFF"/>
          <w14:ligatures w14:val="standardContextual"/>
        </w:rPr>
        <w:t xml:space="preserve">, </w:t>
      </w:r>
      <w:hyperlink r:id="rId7" w:history="1">
        <w:r>
          <w:rPr>
            <w:rStyle w:val="Hyperlink"/>
            <w:rFonts w:ascii="Lato" w:hAnsi="Lato"/>
            <w:i/>
            <w:iCs/>
            <w:sz w:val="24"/>
            <w:szCs w:val="24"/>
            <w:shd w:val="clear" w:color="auto" w:fill="FFFFFF"/>
            <w14:ligatures w14:val="standardContextual"/>
          </w:rPr>
          <w:t>Lennar, reports</w:t>
        </w:r>
      </w:hyperlink>
      <w:r>
        <w:rPr>
          <w:rFonts w:ascii="Lato" w:hAnsi="Lato"/>
          <w:i/>
          <w:iCs/>
          <w:color w:val="333333"/>
          <w:sz w:val="24"/>
          <w:szCs w:val="24"/>
          <w:shd w:val="clear" w:color="auto" w:fill="FFFFFF"/>
          <w14:ligatures w14:val="standardContextual"/>
        </w:rPr>
        <w:t xml:space="preserve">: Revenues from home sales decreased 4% in the second quarter of 2023 to $7.6 billion from $8.0 billion in the second quarter of 2022. Revenues were lower primarily due to a 7% decrease in average sales price of home deliveries, partially offset by a 3% increase in the number of home deliveries. New home deliveries increased to 17,074 homes in the second quarter of 2023 from 16,549 homes second quarter of 2022. The average sales price of homes delivered was $449,000 in the second quarter of 2023, compared to $483,000 in the second quarter of 2022.  </w:t>
      </w:r>
      <w:r>
        <w:rPr>
          <w:rFonts w:ascii="Lato" w:hAnsi="Lato"/>
          <w:color w:val="333333"/>
          <w:sz w:val="24"/>
          <w:szCs w:val="24"/>
          <w:shd w:val="clear" w:color="auto" w:fill="FFFFFF"/>
          <w14:ligatures w14:val="standardContextual"/>
        </w:rPr>
        <w:t>2</w:t>
      </w:r>
      <w:r>
        <w:rPr>
          <w:rFonts w:ascii="Lato" w:hAnsi="Lato"/>
          <w:color w:val="333333"/>
          <w:sz w:val="24"/>
          <w:szCs w:val="24"/>
          <w:shd w:val="clear" w:color="auto" w:fill="FFFFFF"/>
          <w:vertAlign w:val="superscript"/>
          <w14:ligatures w14:val="standardContextual"/>
        </w:rPr>
        <w:t>nd</w:t>
      </w:r>
      <w:r>
        <w:rPr>
          <w:rFonts w:ascii="Lato" w:hAnsi="Lato"/>
          <w:color w:val="333333"/>
          <w:sz w:val="24"/>
          <w:szCs w:val="24"/>
          <w:shd w:val="clear" w:color="auto" w:fill="FFFFFF"/>
          <w14:ligatures w14:val="standardContextual"/>
        </w:rPr>
        <w:t xml:space="preserve"> Q results from leading builders this month should tell how accurate the last month’s surprising rise is.  </w:t>
      </w:r>
      <w:proofErr w:type="gramStart"/>
      <w:r>
        <w:rPr>
          <w:rFonts w:ascii="Lato" w:hAnsi="Lato"/>
          <w:color w:val="333333"/>
          <w:sz w:val="24"/>
          <w:szCs w:val="24"/>
          <w:shd w:val="clear" w:color="auto" w:fill="FFFFFF"/>
          <w14:ligatures w14:val="standardContextual"/>
        </w:rPr>
        <w:t>Of course</w:t>
      </w:r>
      <w:proofErr w:type="gramEnd"/>
      <w:r>
        <w:rPr>
          <w:rFonts w:ascii="Lato" w:hAnsi="Lato"/>
          <w:color w:val="333333"/>
          <w:sz w:val="24"/>
          <w:szCs w:val="24"/>
          <w:shd w:val="clear" w:color="auto" w:fill="FFFFFF"/>
          <w14:ligatures w14:val="standardContextual"/>
        </w:rPr>
        <w:t xml:space="preserve"> all this </w:t>
      </w:r>
      <w:r>
        <w:rPr>
          <w:rFonts w:ascii="Lato" w:hAnsi="Lato"/>
          <w:i/>
          <w:iCs/>
          <w:color w:val="333333"/>
          <w:sz w:val="24"/>
          <w:szCs w:val="24"/>
          <w:shd w:val="clear" w:color="auto" w:fill="FFFFFF"/>
          <w14:ligatures w14:val="standardContextual"/>
        </w:rPr>
        <w:t>incredibly</w:t>
      </w:r>
      <w:r>
        <w:rPr>
          <w:rFonts w:ascii="Lato" w:hAnsi="Lato"/>
          <w:color w:val="333333"/>
          <w:sz w:val="24"/>
          <w:szCs w:val="24"/>
          <w:shd w:val="clear" w:color="auto" w:fill="FFFFFF"/>
          <w14:ligatures w14:val="standardContextual"/>
        </w:rPr>
        <w:t xml:space="preserve"> good news gives the Fed reason to raise rates, which can bolster the Dollar at the expense of the economy and banks holding multi-billions in Treasury notes that go down in value in a rising interest rate environment.  Not to be concerned as Feds completed their bank stress tests: </w:t>
      </w:r>
      <w:hyperlink r:id="rId8" w:history="1">
        <w:r>
          <w:rPr>
            <w:rStyle w:val="Hyperlink"/>
            <w:rFonts w:ascii="Trebuchet MS" w:hAnsi="Trebuchet MS"/>
            <w:color w:val="0000FF"/>
            <w:sz w:val="24"/>
            <w:szCs w:val="24"/>
            <w:u w:val="single"/>
            <w14:ligatures w14:val="standardContextual"/>
          </w:rPr>
          <w:t xml:space="preserve">Major U.S. Banks Could Survive the Worst CRE Scenario | </w:t>
        </w:r>
        <w:proofErr w:type="spellStart"/>
        <w:r>
          <w:rPr>
            <w:rStyle w:val="Hyperlink"/>
            <w:rFonts w:ascii="Trebuchet MS" w:hAnsi="Trebuchet MS"/>
            <w:color w:val="0000FF"/>
            <w:sz w:val="24"/>
            <w:szCs w:val="24"/>
            <w:u w:val="single"/>
            <w14:ligatures w14:val="standardContextual"/>
          </w:rPr>
          <w:t>GlobeSt</w:t>
        </w:r>
        <w:proofErr w:type="spellEnd"/>
      </w:hyperlink>
      <w:r>
        <w:rPr>
          <w:rFonts w:ascii="Arial" w:hAnsi="Arial" w:cs="Arial"/>
          <w:color w:val="888888"/>
          <w:sz w:val="33"/>
          <w:szCs w:val="33"/>
        </w:rPr>
        <w:t xml:space="preserve"> </w:t>
      </w:r>
      <w:r>
        <w:rPr>
          <w:rFonts w:ascii="Lato" w:hAnsi="Lato"/>
          <w:color w:val="333333"/>
          <w:sz w:val="24"/>
          <w:szCs w:val="24"/>
          <w:shd w:val="clear" w:color="auto" w:fill="FFFFFF"/>
          <w14:ligatures w14:val="standardContextual"/>
        </w:rPr>
        <w:t>But as this commercial analyst states, “h</w:t>
      </w:r>
      <w:r>
        <w:rPr>
          <w:rFonts w:ascii="Lato" w:hAnsi="Lato"/>
          <w:i/>
          <w:iCs/>
          <w:color w:val="333333"/>
          <w:sz w:val="24"/>
          <w:szCs w:val="24"/>
          <w:shd w:val="clear" w:color="auto" w:fill="FFFFFF"/>
          <w14:ligatures w14:val="standardContextual"/>
        </w:rPr>
        <w:t>owever, the untested banks are the ones that much of CRE  depends on</w:t>
      </w:r>
      <w:r>
        <w:rPr>
          <w:rFonts w:ascii="Arial" w:hAnsi="Arial" w:cs="Arial"/>
          <w:color w:val="888888"/>
          <w:sz w:val="33"/>
          <w:szCs w:val="33"/>
        </w:rPr>
        <w:t xml:space="preserve">.” </w:t>
      </w:r>
      <w:r>
        <w:rPr>
          <w:rFonts w:ascii="Lato" w:hAnsi="Lato"/>
          <w:color w:val="333333"/>
          <w:sz w:val="24"/>
          <w:szCs w:val="24"/>
          <w:shd w:val="clear" w:color="auto" w:fill="FFFFFF"/>
          <w14:ligatures w14:val="standardContextual"/>
        </w:rPr>
        <w:t xml:space="preserve">One big question is how they did the testing on big banks?  Mark-to-market would show a fairly dramatic drop in Treasury note holdings on balance sheets as rates rise.   Why jeopardize the strength and vitality of the U.S. and other nations around the globe?  Ask George Soros.  </w:t>
      </w:r>
      <w:hyperlink r:id="rId9" w:history="1">
        <w:r>
          <w:rPr>
            <w:rStyle w:val="Hyperlink"/>
            <w:rFonts w:ascii="Lato" w:hAnsi="Lato"/>
            <w:sz w:val="24"/>
            <w:szCs w:val="24"/>
            <w:shd w:val="clear" w:color="auto" w:fill="FFFFFF"/>
            <w14:ligatures w14:val="standardContextual"/>
          </w:rPr>
          <w:t>Here is an important documentary</w:t>
        </w:r>
      </w:hyperlink>
      <w:r>
        <w:rPr>
          <w:rFonts w:ascii="Lato" w:hAnsi="Lato"/>
          <w:color w:val="333333"/>
          <w:sz w:val="24"/>
          <w:szCs w:val="24"/>
          <w:shd w:val="clear" w:color="auto" w:fill="FFFFFF"/>
          <w14:ligatures w14:val="standardContextual"/>
        </w:rPr>
        <w:t xml:space="preserve"> that answers part of this question.  The continuation of the story involves The 4</w:t>
      </w:r>
      <w:r>
        <w:rPr>
          <w:rFonts w:ascii="Lato" w:hAnsi="Lato"/>
          <w:color w:val="333333"/>
          <w:sz w:val="24"/>
          <w:szCs w:val="24"/>
          <w:shd w:val="clear" w:color="auto" w:fill="FFFFFF"/>
          <w:vertAlign w:val="superscript"/>
          <w14:ligatures w14:val="standardContextual"/>
        </w:rPr>
        <w:t>th</w:t>
      </w:r>
      <w:r>
        <w:rPr>
          <w:rFonts w:ascii="Lato" w:hAnsi="Lato"/>
          <w:color w:val="333333"/>
          <w:sz w:val="24"/>
          <w:szCs w:val="24"/>
          <w:shd w:val="clear" w:color="auto" w:fill="FFFFFF"/>
          <w14:ligatures w14:val="standardContextual"/>
        </w:rPr>
        <w:t xml:space="preserve"> Industrial Revolution which Klaus Schwab says “will change </w:t>
      </w:r>
      <w:proofErr w:type="gramStart"/>
      <w:r>
        <w:rPr>
          <w:rFonts w:ascii="Lato" w:hAnsi="Lato"/>
          <w:color w:val="333333"/>
          <w:sz w:val="24"/>
          <w:szCs w:val="24"/>
          <w:shd w:val="clear" w:color="auto" w:fill="FFFFFF"/>
          <w14:ligatures w14:val="standardContextual"/>
        </w:rPr>
        <w:t>you”  (</w:t>
      </w:r>
      <w:proofErr w:type="gramEnd"/>
      <w:r>
        <w:rPr>
          <w:rFonts w:ascii="Lato" w:hAnsi="Lato"/>
          <w:color w:val="333333"/>
          <w:sz w:val="24"/>
          <w:szCs w:val="24"/>
          <w:shd w:val="clear" w:color="auto" w:fill="FFFFFF"/>
          <w14:ligatures w14:val="standardContextual"/>
        </w:rPr>
        <w:t>read transhumanism) and the Great Reset  intro to their global control of everyone’s wallet via a new crypto currency.  Possibly, it starts with the sudden  </w:t>
      </w:r>
      <w:hyperlink r:id="rId10" w:history="1">
        <w:r>
          <w:rPr>
            <w:rStyle w:val="Hyperlink"/>
            <w:rFonts w:ascii="Lato" w:hAnsi="Lato"/>
            <w:sz w:val="24"/>
            <w:szCs w:val="24"/>
            <w:shd w:val="clear" w:color="auto" w:fill="FFFFFF"/>
            <w14:ligatures w14:val="standardContextual"/>
          </w:rPr>
          <w:t>interest by Blackrock in Bitcoin</w:t>
        </w:r>
      </w:hyperlink>
      <w:r>
        <w:rPr>
          <w:rFonts w:ascii="Lato" w:hAnsi="Lato"/>
          <w:color w:val="333333"/>
          <w:sz w:val="24"/>
          <w:szCs w:val="24"/>
          <w:shd w:val="clear" w:color="auto" w:fill="FFFFFF"/>
          <w14:ligatures w14:val="standardContextual"/>
        </w:rPr>
        <w:t xml:space="preserve">.  As we have documented, the tag team of Blackrock, Vanguard and State Street always huddle together to buy a minimum 20% stake in most major </w:t>
      </w:r>
      <w:r>
        <w:rPr>
          <w:rFonts w:ascii="Lato" w:hAnsi="Lato"/>
          <w:color w:val="333333"/>
          <w:sz w:val="24"/>
          <w:szCs w:val="24"/>
          <w:shd w:val="clear" w:color="auto" w:fill="FFFFFF"/>
          <w14:ligatures w14:val="standardContextual"/>
        </w:rPr>
        <w:lastRenderedPageBreak/>
        <w:t>corporations around the world, effectively controlling the board rooms.  It’s not a problem for either side of the proverbial coin, as the White Hats expect a crash of the old system to bring in a new one, while Black Hat globalists’ motto is: “out of chaos comes control,” and so far, it looks like a well-engineered plan, hidden beneath incredible published data. The good news is an alternative system called the QFS, or Quantum Financial System, is waiting in the wings, which is completely decentralized, just the opposite of the Globalists’ plans for total centralization control. Alleged plans are to lure the unemployed after global economic collapse with monthly crypto coin stipends provided they follow the rules on this global sized ship and beckon</w:t>
      </w:r>
      <w:proofErr w:type="gramStart"/>
      <w:r>
        <w:rPr>
          <w:rFonts w:ascii="Lato" w:hAnsi="Lato"/>
          <w:color w:val="333333"/>
          <w:sz w:val="24"/>
          <w:szCs w:val="24"/>
          <w:shd w:val="clear" w:color="auto" w:fill="FFFFFF"/>
          <w14:ligatures w14:val="standardContextual"/>
        </w:rPr>
        <w:t>:  </w:t>
      </w:r>
      <w:r>
        <w:rPr>
          <w:rFonts w:ascii="Lato" w:hAnsi="Lato"/>
          <w:i/>
          <w:iCs/>
          <w:color w:val="333333"/>
          <w:sz w:val="24"/>
          <w:szCs w:val="24"/>
          <w:shd w:val="clear" w:color="auto" w:fill="FFFFFF"/>
          <w14:ligatures w14:val="standardContextual"/>
        </w:rPr>
        <w:t>“</w:t>
      </w:r>
      <w:proofErr w:type="gramEnd"/>
      <w:r>
        <w:rPr>
          <w:rFonts w:ascii="Lato" w:hAnsi="Lato"/>
          <w:i/>
          <w:iCs/>
          <w:color w:val="333333"/>
          <w:sz w:val="24"/>
          <w:szCs w:val="24"/>
          <w:shd w:val="clear" w:color="auto" w:fill="FFFFFF"/>
          <w14:ligatures w14:val="standardContextual"/>
        </w:rPr>
        <w:t>come on</w:t>
      </w:r>
      <w:r>
        <w:rPr>
          <w:rFonts w:ascii="Lato" w:hAnsi="Lato"/>
          <w:color w:val="333333"/>
          <w:sz w:val="24"/>
          <w:szCs w:val="24"/>
          <w:shd w:val="clear" w:color="auto" w:fill="FFFFFF"/>
          <w14:ligatures w14:val="standardContextual"/>
        </w:rPr>
        <w:t xml:space="preserve"> </w:t>
      </w:r>
      <w:r>
        <w:rPr>
          <w:rFonts w:ascii="Lato" w:hAnsi="Lato"/>
          <w:i/>
          <w:iCs/>
          <w:color w:val="333333"/>
          <w:sz w:val="24"/>
          <w:szCs w:val="24"/>
          <w:shd w:val="clear" w:color="auto" w:fill="FFFFFF"/>
          <w14:ligatures w14:val="standardContextual"/>
        </w:rPr>
        <w:t>people better climb aboard now, ship is leaving…ship of fools, ship of fools</w:t>
      </w:r>
      <w:r>
        <w:rPr>
          <w:rFonts w:ascii="Lato" w:hAnsi="Lato"/>
          <w:color w:val="333333"/>
          <w:sz w:val="24"/>
          <w:szCs w:val="24"/>
          <w:shd w:val="clear" w:color="auto" w:fill="FFFFFF"/>
          <w14:ligatures w14:val="standardContextual"/>
        </w:rPr>
        <w:t>.” (Doors circa 1970)    </w:t>
      </w:r>
    </w:p>
    <w:p w14:paraId="7B53CAFB" w14:textId="77777777" w:rsidR="00A1788D" w:rsidRDefault="00A1788D"/>
    <w:sectPr w:rsidR="00A17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8D"/>
    <w:rsid w:val="00A1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52F8"/>
  <w15:chartTrackingRefBased/>
  <w15:docId w15:val="{36931BFB-A734-4CF5-99D6-48368BB8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8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788D"/>
    <w:rPr>
      <w:strike w:val="0"/>
      <w:dstrike w:val="0"/>
      <w:color w:val="109FFF"/>
      <w:u w:val="none"/>
      <w:effect w:val="none"/>
    </w:rPr>
  </w:style>
  <w:style w:type="paragraph" w:customStyle="1" w:styleId="jb">
    <w:name w:val="jb"/>
    <w:basedOn w:val="Normal"/>
    <w:rsid w:val="00A1788D"/>
    <w:pPr>
      <w:spacing w:before="195" w:after="195"/>
    </w:pPr>
  </w:style>
  <w:style w:type="character" w:customStyle="1" w:styleId="jb1">
    <w:name w:val="jb1"/>
    <w:basedOn w:val="DefaultParagraphFont"/>
    <w:rsid w:val="00A17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st.com/2023/06/29/major-u-s-banks-could-survive-the-worst-cre-scenario/?kw=Major%20U.S.%20Banks%20Could%20Survive%20the%20Worst%20CRE%20Scenario&amp;utm_source=email&amp;utm_medium=enl&amp;utm_campaign=californiaalert&amp;utm_content=20230629&amp;utm_term=rem&amp;oly_enc_id=4902G8414078I3I" TargetMode="External"/><Relationship Id="rId3" Type="http://schemas.openxmlformats.org/officeDocument/2006/relationships/webSettings" Target="webSettings.xml"/><Relationship Id="rId7" Type="http://schemas.openxmlformats.org/officeDocument/2006/relationships/hyperlink" Target="https://investors.lennar.com/press-releases/2023/06-14-2023-21355738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zjournals.com/dallas/news/2023/06/02/pretium-partners-dr-horton-inc-acquire-homes.html" TargetMode="External"/><Relationship Id="rId11" Type="http://schemas.openxmlformats.org/officeDocument/2006/relationships/fontTable" Target="fontTable.xml"/><Relationship Id="rId5" Type="http://schemas.openxmlformats.org/officeDocument/2006/relationships/hyperlink" Target="https://tradingeconomics.com/united-states/new-home-sales" TargetMode="External"/><Relationship Id="rId10" Type="http://schemas.openxmlformats.org/officeDocument/2006/relationships/hyperlink" Target="https://www.bloomberg.com/news/articles/2022-08-11/blackrock-offers-bitcoin-investing-to-big-institutional-clients" TargetMode="External"/><Relationship Id="rId4" Type="http://schemas.openxmlformats.org/officeDocument/2006/relationships/hyperlink" Target="https://tradingeconomics.com/united-states/stock-market" TargetMode="External"/><Relationship Id="rId9" Type="http://schemas.openxmlformats.org/officeDocument/2006/relationships/hyperlink" Target="https://rumble.com/v2a5pde-how-china-banned-soros-in-1989-a-canadian-patriot-press-fil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Ray</dc:creator>
  <cp:keywords/>
  <dc:description/>
  <cp:lastModifiedBy>William Ray</cp:lastModifiedBy>
  <cp:revision>2</cp:revision>
  <dcterms:created xsi:type="dcterms:W3CDTF">2024-02-03T22:07:00Z</dcterms:created>
  <dcterms:modified xsi:type="dcterms:W3CDTF">2024-02-03T22:07:00Z</dcterms:modified>
</cp:coreProperties>
</file>